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406"/>
      </w:tblGrid>
      <w:tr w:rsidR="00556494" w:rsidRPr="00F63F89" w14:paraId="4BDBA8FC" w14:textId="77777777" w:rsidTr="00452343">
        <w:tc>
          <w:tcPr>
            <w:tcW w:w="988" w:type="dxa"/>
          </w:tcPr>
          <w:p w14:paraId="57D6E9C7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406" w:type="dxa"/>
          </w:tcPr>
          <w:p w14:paraId="6AD36BCE" w14:textId="5CB4891A" w:rsidR="00556494" w:rsidRPr="00F63F89" w:rsidRDefault="00556494" w:rsidP="00452343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</w:t>
            </w:r>
            <w:r w:rsidR="00FB2FD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="004D6D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="00216A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216A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</w:tc>
      </w:tr>
      <w:tr w:rsidR="00556494" w:rsidRPr="00F63F89" w14:paraId="55F68C99" w14:textId="77777777" w:rsidTr="00452343">
        <w:tc>
          <w:tcPr>
            <w:tcW w:w="988" w:type="dxa"/>
          </w:tcPr>
          <w:p w14:paraId="44EE9BCC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406" w:type="dxa"/>
          </w:tcPr>
          <w:p w14:paraId="10DBA932" w14:textId="01850135" w:rsidR="00556494" w:rsidRPr="00F63F89" w:rsidRDefault="00B61729" w:rsidP="0045234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 de mayo de 2024</w:t>
            </w:r>
          </w:p>
        </w:tc>
      </w:tr>
      <w:tr w:rsidR="00556494" w:rsidRPr="00F63F89" w14:paraId="48E851B5" w14:textId="77777777" w:rsidTr="00452343">
        <w:tc>
          <w:tcPr>
            <w:tcW w:w="988" w:type="dxa"/>
          </w:tcPr>
          <w:p w14:paraId="6E7CB494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</w:tc>
        <w:tc>
          <w:tcPr>
            <w:tcW w:w="8406" w:type="dxa"/>
          </w:tcPr>
          <w:p w14:paraId="41287A4A" w14:textId="4F8CBF23" w:rsidR="00556494" w:rsidRPr="00F63F89" w:rsidRDefault="007D371E" w:rsidP="00452343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477D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</w:t>
            </w:r>
            <w:r w:rsidR="00556494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216A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30</w:t>
            </w:r>
            <w:r w:rsidR="00556494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56494" w:rsidRPr="00F63F89" w14:paraId="74F0B9C4" w14:textId="77777777" w:rsidTr="00452343">
        <w:tc>
          <w:tcPr>
            <w:tcW w:w="988" w:type="dxa"/>
          </w:tcPr>
          <w:p w14:paraId="13936B04" w14:textId="77777777" w:rsidR="00556494" w:rsidRPr="00F63F89" w:rsidRDefault="00556494" w:rsidP="00452343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406" w:type="dxa"/>
          </w:tcPr>
          <w:p w14:paraId="197D3F43" w14:textId="528662DB" w:rsidR="00556494" w:rsidRPr="00F63F89" w:rsidRDefault="00B926FA" w:rsidP="00452343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Sala de Juntas</w:t>
            </w:r>
            <w:r w:rsidR="004D435F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(planta alta)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, ubicada en las instalaciones de la </w:t>
            </w:r>
            <w:r w:rsidR="00556494" w:rsidRPr="00F63F89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 Estatal Anticorrupción de Jalisco, en la Avenida Arcos número 767 de la colonia Jardines del Bosque, del Municipio de Guadalajara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,</w:t>
            </w:r>
            <w:r w:rsidR="00556494" w:rsidRPr="00F63F89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Jalisco.</w:t>
            </w:r>
          </w:p>
        </w:tc>
      </w:tr>
    </w:tbl>
    <w:p w14:paraId="52137888" w14:textId="77777777" w:rsidR="00556494" w:rsidRPr="00F63F89" w:rsidRDefault="00556494" w:rsidP="00556494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5003DBA3" w14:textId="77777777" w:rsidR="00556494" w:rsidRPr="00F63F89" w:rsidRDefault="00556494" w:rsidP="00556494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3F89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3F0DDB13" w14:textId="77777777" w:rsidR="00556494" w:rsidRPr="00F63F89" w:rsidRDefault="00556494" w:rsidP="00556494">
      <w:pPr>
        <w:rPr>
          <w:rFonts w:ascii="Arial" w:eastAsia="Arial" w:hAnsi="Arial" w:cs="Arial"/>
          <w:b/>
          <w:sz w:val="22"/>
          <w:szCs w:val="22"/>
        </w:rPr>
      </w:pPr>
    </w:p>
    <w:p w14:paraId="24B48F3C" w14:textId="77777777" w:rsidR="00216A17" w:rsidRPr="00216A17" w:rsidRDefault="00216A17" w:rsidP="00216A17">
      <w:pPr>
        <w:pStyle w:val="Prrafodelista"/>
        <w:numPr>
          <w:ilvl w:val="0"/>
          <w:numId w:val="11"/>
        </w:numPr>
        <w:ind w:left="426"/>
        <w:rPr>
          <w:rFonts w:ascii="Arial" w:eastAsia="Arial" w:hAnsi="Arial" w:cs="Arial"/>
          <w:bCs/>
          <w:sz w:val="22"/>
          <w:szCs w:val="22"/>
        </w:rPr>
      </w:pPr>
      <w:r w:rsidRPr="00216A17">
        <w:rPr>
          <w:rFonts w:ascii="Arial" w:eastAsia="Arial" w:hAnsi="Arial" w:cs="Arial"/>
          <w:bCs/>
          <w:sz w:val="22"/>
          <w:szCs w:val="22"/>
        </w:rPr>
        <w:t xml:space="preserve">Declaración de </w:t>
      </w:r>
      <w:r w:rsidRPr="00216A17">
        <w:rPr>
          <w:rFonts w:ascii="Arial" w:eastAsia="Arial" w:hAnsi="Arial" w:cs="Arial"/>
          <w:bCs/>
          <w:i/>
          <w:iCs/>
          <w:sz w:val="22"/>
          <w:szCs w:val="22"/>
        </w:rPr>
        <w:t>quórum</w:t>
      </w:r>
      <w:r w:rsidRPr="00216A17">
        <w:rPr>
          <w:rFonts w:ascii="Arial" w:eastAsia="Arial" w:hAnsi="Arial" w:cs="Arial"/>
          <w:bCs/>
          <w:sz w:val="22"/>
          <w:szCs w:val="22"/>
        </w:rPr>
        <w:t xml:space="preserve"> legal e inicio de la sesión.</w:t>
      </w:r>
    </w:p>
    <w:p w14:paraId="3DE7A65F" w14:textId="77777777" w:rsidR="00216A17" w:rsidRPr="00216A17" w:rsidRDefault="00216A17" w:rsidP="00216A17">
      <w:pPr>
        <w:pStyle w:val="Prrafodelista"/>
        <w:numPr>
          <w:ilvl w:val="0"/>
          <w:numId w:val="11"/>
        </w:numPr>
        <w:ind w:left="426"/>
        <w:rPr>
          <w:rFonts w:ascii="Arial" w:eastAsia="Arial" w:hAnsi="Arial" w:cs="Arial"/>
          <w:bCs/>
          <w:sz w:val="22"/>
          <w:szCs w:val="22"/>
        </w:rPr>
      </w:pPr>
      <w:r w:rsidRPr="00216A17">
        <w:rPr>
          <w:rFonts w:ascii="Arial" w:eastAsia="Arial" w:hAnsi="Arial" w:cs="Arial"/>
          <w:bCs/>
          <w:sz w:val="22"/>
          <w:szCs w:val="22"/>
        </w:rPr>
        <w:t>Aprobación del Orden del Día.</w:t>
      </w:r>
    </w:p>
    <w:p w14:paraId="7AE65F7A" w14:textId="41F0C455" w:rsidR="00216A17" w:rsidRPr="00216A17" w:rsidRDefault="00216A17" w:rsidP="00216A17">
      <w:pPr>
        <w:pStyle w:val="Prrafodelista"/>
        <w:numPr>
          <w:ilvl w:val="0"/>
          <w:numId w:val="11"/>
        </w:numPr>
        <w:ind w:left="426"/>
        <w:rPr>
          <w:rFonts w:ascii="Arial" w:eastAsia="Arial" w:hAnsi="Arial" w:cs="Arial"/>
          <w:bCs/>
          <w:sz w:val="22"/>
          <w:szCs w:val="22"/>
        </w:rPr>
      </w:pPr>
      <w:r w:rsidRPr="00216A17">
        <w:rPr>
          <w:rFonts w:ascii="Arial" w:eastAsia="Arial" w:hAnsi="Arial" w:cs="Arial"/>
          <w:bCs/>
          <w:sz w:val="22"/>
          <w:szCs w:val="22"/>
        </w:rPr>
        <w:t>Presentación y en su caso, aprobación de modificación de</w:t>
      </w:r>
      <w:r>
        <w:rPr>
          <w:rFonts w:ascii="Arial" w:eastAsia="Arial" w:hAnsi="Arial" w:cs="Arial"/>
          <w:bCs/>
          <w:sz w:val="22"/>
          <w:szCs w:val="22"/>
        </w:rPr>
        <w:t xml:space="preserve">l </w:t>
      </w:r>
      <w:r w:rsidRPr="00216A17">
        <w:rPr>
          <w:rFonts w:ascii="Arial" w:eastAsia="Arial" w:hAnsi="Arial" w:cs="Arial"/>
          <w:bCs/>
          <w:sz w:val="22"/>
          <w:szCs w:val="22"/>
        </w:rPr>
        <w:t>Calendario de la Sesiones Ordinarias del CAR 202</w:t>
      </w:r>
      <w:r w:rsidR="00B61729">
        <w:rPr>
          <w:rFonts w:ascii="Arial" w:eastAsia="Arial" w:hAnsi="Arial" w:cs="Arial"/>
          <w:bCs/>
          <w:sz w:val="22"/>
          <w:szCs w:val="22"/>
        </w:rPr>
        <w:t>4</w:t>
      </w:r>
      <w:r w:rsidRPr="00216A17">
        <w:rPr>
          <w:rFonts w:ascii="Arial" w:eastAsia="Arial" w:hAnsi="Arial" w:cs="Arial"/>
          <w:bCs/>
          <w:sz w:val="22"/>
          <w:szCs w:val="22"/>
        </w:rPr>
        <w:t>.</w:t>
      </w:r>
    </w:p>
    <w:p w14:paraId="52E4041F" w14:textId="77777777" w:rsidR="00216A17" w:rsidRPr="00216A17" w:rsidRDefault="00216A17" w:rsidP="00216A17">
      <w:pPr>
        <w:pStyle w:val="Prrafodelista"/>
        <w:numPr>
          <w:ilvl w:val="0"/>
          <w:numId w:val="11"/>
        </w:numPr>
        <w:spacing w:after="240"/>
        <w:ind w:left="426"/>
        <w:rPr>
          <w:rFonts w:ascii="Arial" w:eastAsia="Arial" w:hAnsi="Arial" w:cs="Arial"/>
          <w:bCs/>
          <w:sz w:val="22"/>
          <w:szCs w:val="22"/>
        </w:rPr>
      </w:pPr>
      <w:r w:rsidRPr="00216A17">
        <w:rPr>
          <w:rFonts w:ascii="Arial" w:eastAsia="Arial" w:hAnsi="Arial" w:cs="Arial"/>
          <w:bCs/>
          <w:sz w:val="22"/>
          <w:szCs w:val="22"/>
        </w:rPr>
        <w:t>Clausura de la sesión.</w:t>
      </w:r>
    </w:p>
    <w:p w14:paraId="7B6EC279" w14:textId="52A19096" w:rsidR="00556494" w:rsidRDefault="00216A17" w:rsidP="00556494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1</w:t>
      </w:r>
      <w:r w:rsidR="00556494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 Declaración del</w:t>
      </w:r>
      <w:r w:rsidR="00556494" w:rsidRPr="37C09865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</w:rPr>
        <w:t xml:space="preserve"> quórum</w:t>
      </w:r>
      <w:r w:rsidR="00556494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legal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e inicio de la sesión</w:t>
      </w:r>
      <w:r w:rsidR="00556494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</w:t>
      </w:r>
    </w:p>
    <w:p w14:paraId="2646F1BB" w14:textId="504ACF17" w:rsidR="003F6C02" w:rsidRDefault="003F6C02" w:rsidP="005524ED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Según se establece en el párrafo segundo del artículo 19 de los Lineamientos de Operación del Comité de Administración de Riesgos, en ausencia de un Presidente en este Comité</w:t>
      </w:r>
      <w:r w:rsidR="00D075B6">
        <w:rPr>
          <w:rFonts w:ascii="Arial" w:eastAsia="Arial" w:hAnsi="Arial" w:cs="Arial"/>
          <w:sz w:val="22"/>
          <w:szCs w:val="22"/>
        </w:rPr>
        <w:t xml:space="preserve">, </w:t>
      </w:r>
      <w:r w:rsidR="009C2FBC">
        <w:rPr>
          <w:rFonts w:ascii="Arial" w:eastAsia="Arial" w:hAnsi="Arial" w:cs="Arial"/>
          <w:sz w:val="22"/>
          <w:szCs w:val="22"/>
        </w:rPr>
        <w:t>se solicita los presentes vocales con derecho a voto, se determine</w:t>
      </w:r>
      <w:r w:rsidR="007654BF">
        <w:rPr>
          <w:rFonts w:ascii="Arial" w:eastAsia="Arial" w:hAnsi="Arial" w:cs="Arial"/>
          <w:sz w:val="22"/>
          <w:szCs w:val="22"/>
        </w:rPr>
        <w:t xml:space="preserve"> se designe a la persona con cargo de </w:t>
      </w:r>
      <w:r w:rsidR="00ED1B97">
        <w:rPr>
          <w:rFonts w:ascii="Arial" w:eastAsia="Arial" w:hAnsi="Arial" w:cs="Arial"/>
          <w:sz w:val="22"/>
          <w:szCs w:val="22"/>
        </w:rPr>
        <w:t>vocal, presida y realice las funciones de Presidente para el desarrollo de la presente sesión.</w:t>
      </w:r>
    </w:p>
    <w:p w14:paraId="45B8255F" w14:textId="4625ACDC" w:rsidR="003F6C02" w:rsidRDefault="00FC1F37" w:rsidP="005524ED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</w:t>
      </w:r>
      <w:r w:rsidR="00CF7FBE">
        <w:rPr>
          <w:rFonts w:ascii="Arial" w:eastAsia="Arial" w:hAnsi="Arial" w:cs="Arial"/>
          <w:sz w:val="22"/>
          <w:szCs w:val="22"/>
        </w:rPr>
        <w:t xml:space="preserve"> solicit</w:t>
      </w:r>
      <w:r>
        <w:rPr>
          <w:rFonts w:ascii="Arial" w:eastAsia="Arial" w:hAnsi="Arial" w:cs="Arial"/>
          <w:sz w:val="22"/>
          <w:szCs w:val="22"/>
        </w:rPr>
        <w:t xml:space="preserve">o </w:t>
      </w:r>
      <w:r w:rsidR="00941FBE">
        <w:rPr>
          <w:rFonts w:ascii="Arial" w:eastAsia="Arial" w:hAnsi="Arial" w:cs="Arial"/>
          <w:sz w:val="22"/>
          <w:szCs w:val="22"/>
        </w:rPr>
        <w:t>a los presentes</w:t>
      </w:r>
      <w:r w:rsidR="00CF7FBE">
        <w:rPr>
          <w:rFonts w:ascii="Arial" w:eastAsia="Arial" w:hAnsi="Arial" w:cs="Arial"/>
          <w:sz w:val="22"/>
          <w:szCs w:val="22"/>
        </w:rPr>
        <w:t xml:space="preserve"> que manifiesten el sentido de su voto para designar al Mtro. Miguel </w:t>
      </w:r>
      <w:r w:rsidR="00FF2925">
        <w:rPr>
          <w:rFonts w:ascii="Arial" w:eastAsia="Arial" w:hAnsi="Arial" w:cs="Arial"/>
          <w:sz w:val="22"/>
          <w:szCs w:val="22"/>
        </w:rPr>
        <w:t>Ángel Juárez Tello</w:t>
      </w:r>
      <w:r w:rsidR="006F7CB1">
        <w:rPr>
          <w:rFonts w:ascii="Arial" w:eastAsia="Arial" w:hAnsi="Arial" w:cs="Arial"/>
          <w:sz w:val="22"/>
          <w:szCs w:val="22"/>
        </w:rPr>
        <w:t>, Director de Tecnologías y Plataformas</w:t>
      </w:r>
      <w:r w:rsidR="00FF2925">
        <w:rPr>
          <w:rFonts w:ascii="Arial" w:eastAsia="Arial" w:hAnsi="Arial" w:cs="Arial"/>
          <w:sz w:val="22"/>
          <w:szCs w:val="22"/>
        </w:rPr>
        <w:t xml:space="preserve"> para que realice las funciones de presidente en este comité</w:t>
      </w:r>
      <w:r w:rsidR="006F7CB1">
        <w:rPr>
          <w:rFonts w:ascii="Arial" w:eastAsia="Arial" w:hAnsi="Arial" w:cs="Arial"/>
          <w:sz w:val="22"/>
          <w:szCs w:val="22"/>
        </w:rPr>
        <w:t>, por lo que se aprueba por unanimidad de los presentes en votación económica.</w:t>
      </w:r>
    </w:p>
    <w:p w14:paraId="19351AD4" w14:textId="0AB465F5" w:rsidR="005524ED" w:rsidRDefault="005524ED" w:rsidP="005524ED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Según se determina en el </w:t>
      </w:r>
      <w:r w:rsidR="0048129F">
        <w:rPr>
          <w:rFonts w:ascii="Arial" w:eastAsia="Arial" w:hAnsi="Arial" w:cs="Arial"/>
          <w:sz w:val="22"/>
          <w:szCs w:val="22"/>
        </w:rPr>
        <w:t>artículo 18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48129F">
        <w:rPr>
          <w:rFonts w:ascii="Arial" w:eastAsia="Arial" w:hAnsi="Arial" w:cs="Arial"/>
          <w:sz w:val="22"/>
          <w:szCs w:val="22"/>
        </w:rPr>
        <w:t>los Lineamientos de Operación de Comité de Administración de Riesgos de la SESAJ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4D2649">
        <w:rPr>
          <w:rFonts w:ascii="Arial" w:eastAsia="Arial" w:hAnsi="Arial" w:cs="Arial"/>
          <w:sz w:val="22"/>
          <w:szCs w:val="22"/>
        </w:rPr>
        <w:t xml:space="preserve">el Presidente del Comité le solicita a la Vocal Ejecutiva </w:t>
      </w:r>
      <w:r w:rsidR="00F51C2B">
        <w:rPr>
          <w:rFonts w:ascii="Arial" w:eastAsia="Arial" w:hAnsi="Arial" w:cs="Arial"/>
          <w:sz w:val="22"/>
          <w:szCs w:val="22"/>
        </w:rPr>
        <w:t xml:space="preserve">verifique </w:t>
      </w:r>
      <w:r w:rsidR="004D2649"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sz w:val="22"/>
          <w:szCs w:val="22"/>
        </w:rPr>
        <w:t>encuentran presentes</w:t>
      </w:r>
      <w:r w:rsidRPr="37C09865">
        <w:rPr>
          <w:rFonts w:ascii="Arial" w:eastAsia="Arial" w:hAnsi="Arial" w:cs="Arial"/>
          <w:sz w:val="22"/>
          <w:szCs w:val="22"/>
        </w:rPr>
        <w:t xml:space="preserve"> la mayoría de los integrantes del COCODI</w:t>
      </w:r>
      <w:r w:rsidR="00F51C2B">
        <w:rPr>
          <w:rFonts w:ascii="Arial" w:eastAsia="Arial" w:hAnsi="Arial" w:cs="Arial"/>
          <w:sz w:val="22"/>
          <w:szCs w:val="22"/>
        </w:rPr>
        <w:t>. Al verificar la asistencia de quienes integran el Comité de Administración de Riesgos s</w:t>
      </w:r>
      <w:r>
        <w:rPr>
          <w:rFonts w:ascii="Arial" w:eastAsia="Arial" w:hAnsi="Arial" w:cs="Arial"/>
          <w:sz w:val="22"/>
          <w:szCs w:val="22"/>
        </w:rPr>
        <w:t>e</w:t>
      </w:r>
      <w:r w:rsidRPr="37C09865">
        <w:rPr>
          <w:rFonts w:ascii="Arial" w:eastAsia="Arial" w:hAnsi="Arial" w:cs="Arial"/>
          <w:sz w:val="22"/>
          <w:szCs w:val="22"/>
        </w:rPr>
        <w:t xml:space="preserve"> declara de </w:t>
      </w:r>
      <w:r w:rsidRPr="37C09865">
        <w:rPr>
          <w:rFonts w:ascii="Arial" w:eastAsia="Arial" w:hAnsi="Arial" w:cs="Arial"/>
          <w:i/>
          <w:iCs/>
          <w:sz w:val="22"/>
          <w:szCs w:val="22"/>
        </w:rPr>
        <w:t xml:space="preserve">quórum </w:t>
      </w:r>
      <w:r w:rsidRPr="37C09865"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z w:val="22"/>
          <w:szCs w:val="22"/>
        </w:rPr>
        <w:t>, al estar presentes:</w:t>
      </w:r>
    </w:p>
    <w:p w14:paraId="6BB5129D" w14:textId="247997D2" w:rsidR="005524ED" w:rsidRPr="007A4E5F" w:rsidRDefault="005524ED" w:rsidP="007A4E5F">
      <w:pPr>
        <w:spacing w:before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72D2F">
        <w:rPr>
          <w:rFonts w:ascii="Arial" w:eastAsia="Arial" w:hAnsi="Arial" w:cs="Arial"/>
          <w:b/>
          <w:bCs/>
          <w:sz w:val="22"/>
          <w:szCs w:val="22"/>
        </w:rPr>
        <w:t>Con voz y voto:</w:t>
      </w:r>
    </w:p>
    <w:p w14:paraId="64C3AF91" w14:textId="1E18955C" w:rsidR="005524ED" w:rsidRPr="00972D2F" w:rsidRDefault="00FB2FD4" w:rsidP="005524ED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Miguel Ángel Juárez Tello</w:t>
      </w:r>
    </w:p>
    <w:p w14:paraId="42333574" w14:textId="29D9F833" w:rsidR="005524ED" w:rsidRPr="00972D2F" w:rsidRDefault="005524ED" w:rsidP="005524ED">
      <w:pPr>
        <w:jc w:val="both"/>
        <w:rPr>
          <w:rFonts w:ascii="Arial" w:eastAsia="Arial" w:hAnsi="Arial" w:cs="Arial"/>
          <w:sz w:val="22"/>
          <w:szCs w:val="22"/>
        </w:rPr>
      </w:pPr>
      <w:r w:rsidRPr="00972D2F">
        <w:rPr>
          <w:rFonts w:ascii="Arial" w:eastAsia="Arial" w:hAnsi="Arial" w:cs="Arial"/>
          <w:sz w:val="22"/>
          <w:szCs w:val="22"/>
        </w:rPr>
        <w:t>Direc</w:t>
      </w:r>
      <w:r w:rsidR="00C55CB9">
        <w:rPr>
          <w:rFonts w:ascii="Arial" w:eastAsia="Arial" w:hAnsi="Arial" w:cs="Arial"/>
          <w:sz w:val="22"/>
          <w:szCs w:val="22"/>
        </w:rPr>
        <w:t>tor</w:t>
      </w:r>
      <w:r w:rsidRPr="00972D2F">
        <w:rPr>
          <w:rFonts w:ascii="Arial" w:eastAsia="Arial" w:hAnsi="Arial" w:cs="Arial"/>
          <w:sz w:val="22"/>
          <w:szCs w:val="22"/>
        </w:rPr>
        <w:t xml:space="preserve"> de Tecnologías y Plataformas </w:t>
      </w:r>
    </w:p>
    <w:p w14:paraId="41966C92" w14:textId="11B36510" w:rsidR="005524ED" w:rsidRPr="00972D2F" w:rsidRDefault="00C55CB9" w:rsidP="005524ED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Reyna Wendolyn </w:t>
      </w:r>
      <w:r w:rsidR="00B638DB">
        <w:rPr>
          <w:rFonts w:ascii="Arial" w:eastAsia="Arial" w:hAnsi="Arial" w:cs="Arial"/>
          <w:sz w:val="22"/>
          <w:szCs w:val="22"/>
        </w:rPr>
        <w:t>Navarro Serrano</w:t>
      </w:r>
    </w:p>
    <w:p w14:paraId="42CFF72E" w14:textId="6CB626DF" w:rsidR="005524ED" w:rsidRDefault="001A1116" w:rsidP="005524E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Secretaria Particular del Secretario Técnico de</w:t>
      </w:r>
      <w:r w:rsidR="00B638DB"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SE</w:t>
      </w:r>
      <w:r w:rsidR="00B638DB">
        <w:rPr>
          <w:rFonts w:ascii="Arial" w:eastAsia="Arial" w:hAnsi="Arial" w:cs="Arial"/>
          <w:sz w:val="22"/>
          <w:szCs w:val="22"/>
        </w:rPr>
        <w:t>AJAL</w:t>
      </w:r>
    </w:p>
    <w:p w14:paraId="2A6E8353" w14:textId="59851A72" w:rsidR="008F6614" w:rsidRDefault="008F6614" w:rsidP="008F6614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Jessica Avalos Alvarez</w:t>
      </w:r>
    </w:p>
    <w:p w14:paraId="5EAFF7E8" w14:textId="3DA8C2FF" w:rsidR="008F6614" w:rsidRPr="008F6614" w:rsidRDefault="008F6614" w:rsidP="008F661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Vocal Ejecutiva del Comité de Administración de Riesgos.</w:t>
      </w:r>
    </w:p>
    <w:p w14:paraId="31C116CF" w14:textId="77777777" w:rsidR="005524ED" w:rsidRDefault="005524ED" w:rsidP="005524E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794C0DD" w14:textId="77777777" w:rsidR="005524ED" w:rsidRPr="00972D2F" w:rsidRDefault="005524ED" w:rsidP="005524E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72D2F">
        <w:rPr>
          <w:rFonts w:ascii="Arial" w:eastAsia="Arial" w:hAnsi="Arial" w:cs="Arial"/>
          <w:b/>
          <w:bCs/>
          <w:sz w:val="22"/>
          <w:szCs w:val="22"/>
        </w:rPr>
        <w:t>Con voz:</w:t>
      </w:r>
    </w:p>
    <w:p w14:paraId="14205719" w14:textId="77777777" w:rsidR="00326AC8" w:rsidRPr="00326AC8" w:rsidRDefault="00326AC8" w:rsidP="00326AC8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326AC8">
        <w:rPr>
          <w:rFonts w:ascii="Arial" w:eastAsia="Arial" w:hAnsi="Arial" w:cs="Arial"/>
          <w:sz w:val="22"/>
          <w:szCs w:val="22"/>
        </w:rPr>
        <w:t>Ezequiel González Pinedo</w:t>
      </w:r>
    </w:p>
    <w:p w14:paraId="08B10166" w14:textId="69314A62" w:rsidR="00326AC8" w:rsidRDefault="00326AC8" w:rsidP="00326AC8">
      <w:pPr>
        <w:rPr>
          <w:rFonts w:ascii="Arial" w:eastAsia="Arial" w:hAnsi="Arial" w:cs="Arial"/>
          <w:sz w:val="22"/>
          <w:szCs w:val="22"/>
        </w:rPr>
      </w:pPr>
      <w:r w:rsidRPr="00326AC8">
        <w:rPr>
          <w:rFonts w:ascii="Arial" w:eastAsia="Arial" w:hAnsi="Arial" w:cs="Arial"/>
          <w:sz w:val="22"/>
          <w:szCs w:val="22"/>
        </w:rPr>
        <w:t>Titular del Órgano Interno de Control</w:t>
      </w:r>
    </w:p>
    <w:p w14:paraId="532E54CD" w14:textId="77777777" w:rsidR="00B61729" w:rsidRPr="00B61729" w:rsidRDefault="00B61729" w:rsidP="00B61729">
      <w:pPr>
        <w:pStyle w:val="Prrafodelista"/>
        <w:numPr>
          <w:ilvl w:val="0"/>
          <w:numId w:val="6"/>
        </w:numPr>
        <w:rPr>
          <w:rFonts w:ascii="Arial" w:eastAsia="Arial" w:hAnsi="Arial" w:cs="Arial"/>
          <w:sz w:val="22"/>
          <w:szCs w:val="22"/>
        </w:rPr>
      </w:pPr>
      <w:r w:rsidRPr="00B61729">
        <w:rPr>
          <w:rFonts w:ascii="Arial" w:eastAsia="Arial" w:hAnsi="Arial" w:cs="Arial"/>
          <w:sz w:val="22"/>
          <w:szCs w:val="22"/>
        </w:rPr>
        <w:t>Mariel Lizbeth Matlalcoatl Nuñez</w:t>
      </w:r>
    </w:p>
    <w:p w14:paraId="7B890915" w14:textId="4AC68012" w:rsidR="00B61729" w:rsidRDefault="00B61729" w:rsidP="00326AC8">
      <w:pPr>
        <w:rPr>
          <w:rFonts w:ascii="Arial" w:eastAsia="Arial" w:hAnsi="Arial" w:cs="Arial"/>
          <w:sz w:val="22"/>
          <w:szCs w:val="22"/>
        </w:rPr>
      </w:pPr>
      <w:r w:rsidRPr="00B61729">
        <w:rPr>
          <w:rFonts w:ascii="Arial" w:eastAsia="Arial" w:hAnsi="Arial" w:cs="Arial"/>
          <w:sz w:val="22"/>
          <w:szCs w:val="22"/>
        </w:rPr>
        <w:t>Jefa del Área Investigadora</w:t>
      </w:r>
    </w:p>
    <w:p w14:paraId="52D0D5D7" w14:textId="701E9931" w:rsidR="005524ED" w:rsidRDefault="001A1116" w:rsidP="005524ED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Presidente </w:t>
      </w:r>
      <w:r w:rsidR="005524ED">
        <w:rPr>
          <w:rFonts w:ascii="Arial" w:eastAsia="Arial" w:hAnsi="Arial" w:cs="Arial"/>
          <w:sz w:val="22"/>
          <w:szCs w:val="22"/>
        </w:rPr>
        <w:t xml:space="preserve">procede a </w:t>
      </w:r>
      <w:r>
        <w:rPr>
          <w:rFonts w:ascii="Arial" w:eastAsia="Arial" w:hAnsi="Arial" w:cs="Arial"/>
          <w:sz w:val="22"/>
          <w:szCs w:val="22"/>
        </w:rPr>
        <w:t xml:space="preserve">dar por iniciada la sesión, siendo las 13:30 </w:t>
      </w:r>
      <w:r w:rsidR="005524ED">
        <w:rPr>
          <w:rFonts w:ascii="Arial" w:eastAsia="Arial" w:hAnsi="Arial" w:cs="Arial"/>
          <w:sz w:val="22"/>
          <w:szCs w:val="22"/>
        </w:rPr>
        <w:t>desahogar el siguiente punto del Orden del Día.</w:t>
      </w:r>
    </w:p>
    <w:p w14:paraId="7C75EE81" w14:textId="5F287D8B" w:rsidR="007D371E" w:rsidRDefault="00351A11" w:rsidP="007D371E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3</w:t>
      </w:r>
      <w:r w:rsidR="007D371E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 Lectura y Aprobación del Orden del Día.</w:t>
      </w:r>
    </w:p>
    <w:p w14:paraId="534BCE83" w14:textId="6BB01707" w:rsidR="007D371E" w:rsidRDefault="004403D1" w:rsidP="007D371E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Según</w:t>
      </w:r>
      <w:r w:rsidR="007D371E" w:rsidRPr="004723B6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se establece </w:t>
      </w:r>
      <w:r w:rsidR="00B7358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en el </w:t>
      </w:r>
      <w:r w:rsidR="00E50B3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artículo 24 de los Lineamientos de Operación del Comité de Administración de Riesgos de la SESAJ</w:t>
      </w:r>
      <w:r w:rsidR="00F51C2B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,</w:t>
      </w:r>
      <w:r w:rsidR="00E50B3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el Presidente del Comité</w:t>
      </w:r>
      <w:r w:rsidR="007D371E" w:rsidRPr="004723B6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procede a dar lectura al orden del día</w:t>
      </w:r>
      <w:r w:rsidR="00216A17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y lo pone a consideración de los presentes.</w:t>
      </w:r>
    </w:p>
    <w:p w14:paraId="320EFCB9" w14:textId="40BF84B0" w:rsidR="00216A17" w:rsidRDefault="00216A17" w:rsidP="007D371E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La Vocal Ejecutiva procede a dar lectura al Orden del Día con la modificación propuesta y lo pone a consideración del Comité:</w:t>
      </w:r>
    </w:p>
    <w:p w14:paraId="5FE15075" w14:textId="1241F1ED" w:rsidR="004640F2" w:rsidRPr="004640F2" w:rsidRDefault="004640F2" w:rsidP="004640F2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Declaración de quórum legal e inicio de la sesión.</w:t>
      </w:r>
    </w:p>
    <w:p w14:paraId="61D8934F" w14:textId="77612C91" w:rsidR="004640F2" w:rsidRPr="004640F2" w:rsidRDefault="004640F2" w:rsidP="004640F2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Aprobación del Orden del Día.</w:t>
      </w:r>
    </w:p>
    <w:p w14:paraId="626E1089" w14:textId="29FC589F" w:rsidR="004640F2" w:rsidRPr="008F6614" w:rsidRDefault="004640F2" w:rsidP="008F6614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lastRenderedPageBreak/>
        <w:t>Presentación y en su caso, aprobación de modificación del Calendario de la Sesiones Ordinarias del CAR 202</w:t>
      </w:r>
      <w:r w:rsidR="008F6614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4</w:t>
      </w:r>
      <w:r w:rsidRPr="004640F2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.</w:t>
      </w:r>
    </w:p>
    <w:p w14:paraId="03B7F4E7" w14:textId="2B1C0FB3" w:rsidR="004640F2" w:rsidRDefault="004640F2" w:rsidP="004640F2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Clausura de la sesión.</w:t>
      </w:r>
    </w:p>
    <w:p w14:paraId="1D2ED9D7" w14:textId="77777777" w:rsidR="004640F2" w:rsidRDefault="004640F2" w:rsidP="004640F2">
      <w:pPr>
        <w:autoSpaceDE w:val="0"/>
        <w:autoSpaceDN w:val="0"/>
        <w:adjustRightInd w:val="0"/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</w:p>
    <w:p w14:paraId="13C3CBCB" w14:textId="54CD8FB4" w:rsidR="004640F2" w:rsidRDefault="004640F2" w:rsidP="004640F2">
      <w:pPr>
        <w:autoSpaceDE w:val="0"/>
        <w:autoSpaceDN w:val="0"/>
        <w:adjustRightInd w:val="0"/>
        <w:jc w:val="both"/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La Vocal Ejecutiva solicita a los presentes que manifiesten el sentido de su voto,</w:t>
      </w:r>
      <w:r w:rsidR="00526DCC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y</w:t>
      </w:r>
      <w:r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en caso de estar en afirmativa, lo hagan en votación económica</w:t>
      </w:r>
      <w:r w:rsidR="00526DCC"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levantando su mano</w:t>
      </w:r>
      <w:r>
        <w:rPr>
          <w:rStyle w:val="normaltextrun"/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. El Orden del Día es aprobado por la mayoría de los presentes.</w:t>
      </w:r>
    </w:p>
    <w:p w14:paraId="20E9D303" w14:textId="77777777" w:rsidR="004640F2" w:rsidRDefault="004640F2" w:rsidP="004640F2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14:paraId="5C819220" w14:textId="24EBFA34" w:rsidR="004640F2" w:rsidRDefault="004640F2" w:rsidP="004640F2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El presidente le solicita a la Vocal Ejecutiva, proceda a desahogar el siguiente punto del Orden del Día.</w:t>
      </w:r>
    </w:p>
    <w:p w14:paraId="2ED7150D" w14:textId="77777777" w:rsidR="004640F2" w:rsidRDefault="004640F2" w:rsidP="00556494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</w:pPr>
    </w:p>
    <w:p w14:paraId="19BDB654" w14:textId="3DBB3633" w:rsidR="009C557B" w:rsidRPr="00C642A2" w:rsidRDefault="004640F2" w:rsidP="00556494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4. </w:t>
      </w:r>
      <w:r w:rsidRPr="004640F2">
        <w:rPr>
          <w:rFonts w:ascii="Arial" w:eastAsia="Arial" w:hAnsi="Arial" w:cs="Arial"/>
          <w:b/>
          <w:bCs/>
          <w:color w:val="003B51"/>
          <w:sz w:val="22"/>
          <w:szCs w:val="22"/>
        </w:rPr>
        <w:t>Presentación y en su caso, aprobación de modificación del Calendario de la Sesiones Ordinarias del CAR 202</w:t>
      </w:r>
      <w:r w:rsidR="00B61729">
        <w:rPr>
          <w:rFonts w:ascii="Arial" w:eastAsia="Arial" w:hAnsi="Arial" w:cs="Arial"/>
          <w:b/>
          <w:bCs/>
          <w:color w:val="003B51"/>
          <w:sz w:val="22"/>
          <w:szCs w:val="22"/>
        </w:rPr>
        <w:t>4.</w:t>
      </w:r>
    </w:p>
    <w:p w14:paraId="63B11008" w14:textId="77777777" w:rsidR="009C557B" w:rsidRPr="00C642A2" w:rsidRDefault="009C557B" w:rsidP="00556494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</w:p>
    <w:p w14:paraId="7001972A" w14:textId="7372A6F5" w:rsidR="004640F2" w:rsidRPr="004640F2" w:rsidRDefault="004640F2" w:rsidP="004640F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La Vocal Ejecutiva procede a desahogar el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526DCC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cuarto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punto </w:t>
      </w:r>
      <w:r w:rsidR="00F51C2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del Orden del Día, que 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corresponde a la presentación y en su caso, aprobación de </w:t>
      </w:r>
      <w:r w:rsidR="00526DCC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modificación de</w:t>
      </w:r>
      <w:r w:rsidR="00526DCC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Calendario de la Sesiones Ordinarias del CAR 202</w:t>
      </w:r>
      <w:r w:rsidR="00B6172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4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244BADD2" w14:textId="474F1F34" w:rsidR="003F3B6B" w:rsidRDefault="003F3B6B" w:rsidP="004640F2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Derivado de lo establecido en el </w:t>
      </w:r>
      <w:r w:rsidR="002004E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artículo 7, fracción III de los Lineamientos de Operación del Comité de Administración de Riesgos, en el que se señala que este comité deberá </w:t>
      </w:r>
      <w:r w:rsidR="00766FC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estar integrado por los vocales propuestos por Comité de Control Interno y Desempeño Institucional, es necesario cambiar la fecha de celebración de la Segunda Sesión Ordinaria del Comité de Administración de Riesgos</w:t>
      </w:r>
      <w:r w:rsidR="00F21A1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para ser integrado adecuadamente después que se celebre la Segunda Sesión Ordinaria del Comité de Control Interno y Desempeño Institucional</w:t>
      </w:r>
      <w:r w:rsidR="00C74B5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y en esta, se pr</w:t>
      </w:r>
      <w:r w:rsidR="00E773A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opongan a las personas que integren el presente Comité.</w:t>
      </w:r>
    </w:p>
    <w:p w14:paraId="7506C48D" w14:textId="789A1FE8" w:rsidR="004640F2" w:rsidRDefault="004640F2" w:rsidP="00B61729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Al considerar lo anterior mencionado, se pone a consideración de este Comité, el cambio de</w:t>
      </w:r>
      <w:r w:rsidR="00E773A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7A3D2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celebración</w:t>
      </w:r>
      <w:r w:rsidR="00E773A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 la Segunda Sesión Ordinaria del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</w:t>
      </w:r>
      <w:r w:rsidR="00E773A3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Comit</w:t>
      </w:r>
      <w:r w:rsidR="007A3D2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é 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de Administración de Riesgos de la SESAJ, quedando de</w:t>
      </w:r>
      <w:r w:rsidR="007A3D2A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 </w:t>
      </w:r>
      <w:r w:rsidR="00B6172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28 de mayo de 2024, al 25 de junio de 2024.</w:t>
      </w:r>
    </w:p>
    <w:p w14:paraId="069961A0" w14:textId="7E5787AD" w:rsidR="004640F2" w:rsidRPr="004640F2" w:rsidRDefault="004640F2" w:rsidP="00526DCC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El Presidente del Comité solicita a la Vocal Ejecutiva, solicite el sentido de su voto a quienes integran el Comité de Administración de Riesgos.</w:t>
      </w:r>
    </w:p>
    <w:p w14:paraId="71D190F9" w14:textId="6647149F" w:rsidR="004640F2" w:rsidRPr="004640F2" w:rsidRDefault="004640F2" w:rsidP="00526DCC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Al no haber intervenciones,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Vocal Ejecutiva, consulta</w:t>
      </w:r>
      <w:r w:rsidR="005F65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a quienes se encuentran presentes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si se aprueba la modificación de Calendario de la Sesiones Ordinarias del CAR 202</w:t>
      </w:r>
      <w:r w:rsidR="00B61729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4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,</w:t>
      </w:r>
      <w:r w:rsidR="005F65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señala que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los que estén por la afirmativa, </w:t>
      </w:r>
      <w:r w:rsidR="00F51C2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lo manifiesten</w:t>
      </w:r>
      <w:r w:rsidRPr="004640F2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levantando la mano.</w:t>
      </w:r>
      <w:r w:rsidR="005F659B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Es aprobado por la mayoría de los presentes.</w:t>
      </w:r>
    </w:p>
    <w:p w14:paraId="0FB39832" w14:textId="265CB25F" w:rsidR="004640F2" w:rsidRPr="004640F2" w:rsidRDefault="005F659B" w:rsidP="00351D68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El Presidente le solicita a la Vocal Ejecutiva proceda a desahogar el siguiente punto del Orden del Día.</w:t>
      </w:r>
    </w:p>
    <w:p w14:paraId="4A0F9E81" w14:textId="5C6625EE" w:rsidR="00556494" w:rsidRPr="00657BE2" w:rsidRDefault="00B61729" w:rsidP="00556494">
      <w:pPr>
        <w:pStyle w:val="Prrafodelista"/>
        <w:spacing w:after="240"/>
        <w:ind w:left="0"/>
        <w:rPr>
          <w:rFonts w:ascii="Arial" w:eastAsia="Arial" w:hAnsi="Arial" w:cs="Arial"/>
          <w:b/>
          <w:color w:val="003B51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5</w:t>
      </w:r>
      <w:r w:rsidR="00556494" w:rsidRPr="37C09865">
        <w:rPr>
          <w:rFonts w:ascii="Arial" w:eastAsia="Arial" w:hAnsi="Arial" w:cs="Arial"/>
          <w:b/>
          <w:color w:val="003B51"/>
          <w:sz w:val="22"/>
          <w:szCs w:val="22"/>
        </w:rPr>
        <w:t>. Clausura de la Sesión.</w:t>
      </w:r>
    </w:p>
    <w:p w14:paraId="54409839" w14:textId="2FF0FF87" w:rsidR="00556494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Se da por clausurada la </w:t>
      </w:r>
      <w:r w:rsidRPr="00CD3AC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Primera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Sesión </w:t>
      </w:r>
      <w:r w:rsidR="007A54B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O</w:t>
      </w:r>
      <w:r w:rsidRPr="00CD3AC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rdinaria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Comité de </w:t>
      </w:r>
      <w:r w:rsidR="007A54B0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Administración de Riesgos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 la SESAJ, siendo las </w:t>
      </w:r>
      <w:r w:rsidR="007C0B59" w:rsidRPr="007C0B5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1</w:t>
      </w:r>
      <w:r w:rsidR="00B6172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3</w:t>
      </w:r>
      <w:r w:rsidRPr="007C0B5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:</w:t>
      </w:r>
      <w:r w:rsidR="00B6172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5</w:t>
      </w:r>
      <w:r w:rsidR="0087354F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4</w:t>
      </w:r>
      <w:r w:rsidRPr="007C0B59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 xml:space="preserve"> horas 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del </w:t>
      </w:r>
      <w:r w:rsidR="00B6172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27 de mayo de 2024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, levantándose para constancia la presente acta, que firman y rubrican al calce todos los que intervinieron en la presente sesión</w:t>
      </w:r>
      <w:r w:rsidRPr="00F63F89">
        <w:rPr>
          <w:rFonts w:ascii="Arial" w:eastAsia="Cambria" w:hAnsi="Arial" w:cs="Arial"/>
          <w:color w:val="727272"/>
          <w:sz w:val="22"/>
          <w:szCs w:val="22"/>
          <w:lang w:val="es-MX" w:eastAsia="es-MX"/>
        </w:rPr>
        <w:t>.</w:t>
      </w:r>
    </w:p>
    <w:p w14:paraId="54EBDB64" w14:textId="77777777" w:rsidR="00A30F39" w:rsidRDefault="00A30F39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42E8C634" w14:textId="77777777" w:rsidR="00A30F39" w:rsidRDefault="00A30F39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1C87DD6A" w14:textId="77777777" w:rsidR="00A30F39" w:rsidRDefault="00A30F39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7CE00D89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186BAC17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54CED163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44B2AA37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43310621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03C7B3A3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6E620274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79938AF1" w14:textId="77777777" w:rsidR="004C4150" w:rsidRDefault="004C4150" w:rsidP="00A949C5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tbl>
      <w:tblPr>
        <w:tblStyle w:val="Tablaconcuadrcula"/>
        <w:tblW w:w="91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431"/>
        <w:gridCol w:w="4420"/>
      </w:tblGrid>
      <w:tr w:rsidR="005F1EB8" w:rsidRPr="00F63F89" w14:paraId="63C31DB7" w14:textId="77777777" w:rsidTr="004C4150">
        <w:trPr>
          <w:trHeight w:val="1546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</w:tcPr>
          <w:p w14:paraId="0A65E567" w14:textId="77777777" w:rsidR="00B61729" w:rsidRPr="00B61729" w:rsidRDefault="00B61729" w:rsidP="00B61729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1729"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Miguel Ángel Juárez Tello</w:t>
            </w:r>
          </w:p>
          <w:p w14:paraId="021E455D" w14:textId="77777777" w:rsidR="00B61729" w:rsidRPr="00B61729" w:rsidRDefault="00B61729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1729">
              <w:rPr>
                <w:rFonts w:ascii="Arial" w:eastAsia="Arial" w:hAnsi="Arial" w:cs="Arial"/>
                <w:sz w:val="20"/>
                <w:szCs w:val="20"/>
              </w:rPr>
              <w:t xml:space="preserve">Director de Tecnologías y Plataformas </w:t>
            </w:r>
          </w:p>
          <w:p w14:paraId="22924E8B" w14:textId="77777777" w:rsidR="005F1EB8" w:rsidRDefault="005F1EB8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02C2E16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ADB2563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81198FE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3681A6E" w14:textId="47F48382" w:rsidR="004C4150" w:rsidRPr="00F63F89" w:rsidRDefault="004C4150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1" w:type="dxa"/>
          </w:tcPr>
          <w:p w14:paraId="3BCAAB07" w14:textId="77777777" w:rsidR="005F1EB8" w:rsidRPr="00F63F89" w:rsidRDefault="005F1EB8" w:rsidP="00B24AF7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</w:tcPr>
          <w:p w14:paraId="503AEBC8" w14:textId="77777777" w:rsidR="003246BD" w:rsidRPr="00F63F89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Jessica Avalos Alvarez</w:t>
            </w:r>
            <w:r w:rsidRPr="00F63F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4B9FCBE" w14:textId="38695FFC" w:rsidR="005F1EB8" w:rsidRDefault="005F1EB8" w:rsidP="003246BD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Vocal Ejecutiva</w:t>
            </w:r>
            <w:r w:rsidR="003246BD">
              <w:rPr>
                <w:rFonts w:ascii="Arial" w:eastAsia="Arial" w:hAnsi="Arial" w:cs="Arial"/>
                <w:bCs/>
                <w:sz w:val="20"/>
                <w:szCs w:val="20"/>
              </w:rPr>
              <w:t>, Enlace del Sistema de Control Interno Institucional, Administración de Riesgos y Jefa de Archivo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28CF6FD9" w14:textId="77777777" w:rsidR="007A54B0" w:rsidRDefault="007A54B0" w:rsidP="00B24AF7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822869F" w14:textId="77777777" w:rsidR="00526DCC" w:rsidRDefault="00526DCC" w:rsidP="00526DC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9D1F92B" w14:textId="77777777" w:rsidR="004C4150" w:rsidRDefault="004C4150" w:rsidP="00526DC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1B4AC5E" w14:textId="77777777" w:rsidR="004C4150" w:rsidRDefault="004C4150" w:rsidP="00526DCC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E21DA5E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5F1EB8" w:rsidRPr="00F63F89" w14:paraId="4239191C" w14:textId="77777777" w:rsidTr="004C4150">
        <w:trPr>
          <w:trHeight w:hRule="exact" w:val="2248"/>
        </w:trPr>
        <w:tc>
          <w:tcPr>
            <w:tcW w:w="4282" w:type="dxa"/>
            <w:tcBorders>
              <w:top w:val="single" w:sz="4" w:space="0" w:color="auto"/>
            </w:tcBorders>
          </w:tcPr>
          <w:p w14:paraId="1E5D251D" w14:textId="77777777" w:rsidR="00B61729" w:rsidRPr="00B61729" w:rsidRDefault="00B61729" w:rsidP="00B61729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172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Reyna Wendolyn Navarro Serrano</w:t>
            </w:r>
          </w:p>
          <w:p w14:paraId="7665839A" w14:textId="77777777" w:rsidR="00B61729" w:rsidRPr="00B61729" w:rsidRDefault="00B61729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1729">
              <w:rPr>
                <w:rFonts w:ascii="Arial" w:eastAsia="Arial" w:hAnsi="Arial" w:cs="Arial"/>
                <w:sz w:val="20"/>
                <w:szCs w:val="20"/>
              </w:rPr>
              <w:t>Secretaria Particular del Secretario Técnico del SEAJAL</w:t>
            </w:r>
          </w:p>
          <w:p w14:paraId="4ACD5169" w14:textId="77777777" w:rsidR="005F1EB8" w:rsidRPr="00F63F89" w:rsidRDefault="005F1EB8" w:rsidP="00526DCC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1B905C2" w14:textId="77777777" w:rsidR="005F1EB8" w:rsidRPr="00F63F89" w:rsidRDefault="005F1EB8" w:rsidP="00526DCC">
            <w:pP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1" w:type="dxa"/>
          </w:tcPr>
          <w:p w14:paraId="721EAA6E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</w:tcPr>
          <w:p w14:paraId="58263F43" w14:textId="77777777" w:rsidR="00B61729" w:rsidRDefault="00B61729" w:rsidP="00B61729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Ezequiel González Pinedo</w:t>
            </w:r>
          </w:p>
          <w:p w14:paraId="4E55D99C" w14:textId="77777777" w:rsidR="00B61729" w:rsidRDefault="00B61729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Invitado Permanente y</w:t>
            </w:r>
          </w:p>
          <w:p w14:paraId="4E8A2191" w14:textId="77777777" w:rsidR="00B61729" w:rsidRDefault="00B61729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Titular del Órgano Interno de Control</w:t>
            </w:r>
          </w:p>
          <w:p w14:paraId="01C56BA0" w14:textId="77777777" w:rsidR="004C4150" w:rsidRDefault="004C4150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D4453D" w14:textId="77777777" w:rsidR="004C4150" w:rsidRDefault="004C4150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C5FD3A" w14:textId="77777777" w:rsidR="004C4150" w:rsidRDefault="004C4150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061472" w14:textId="77777777" w:rsidR="004C4150" w:rsidRDefault="004C4150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E08E78" w14:textId="77777777" w:rsidR="004C4150" w:rsidRDefault="004C4150" w:rsidP="00B617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D578FA" w14:textId="77777777" w:rsidR="005F1EB8" w:rsidRPr="00F63F89" w:rsidRDefault="005F1EB8" w:rsidP="00526DCC">
            <w:pPr>
              <w:tabs>
                <w:tab w:val="left" w:pos="1978"/>
              </w:tabs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68EDCF9" w14:textId="77777777" w:rsidR="005F1EB8" w:rsidRDefault="005F1EB8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E58C028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2E89CEAF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E60B991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03FA89F0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788BCDFF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6558E351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B36628D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450C6918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978ED0B" w14:textId="77777777" w:rsidR="004C4150" w:rsidRDefault="004C4150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985EF46" w14:textId="77777777" w:rsidR="005F1EB8" w:rsidRPr="00F63F89" w:rsidRDefault="005F1EB8" w:rsidP="00B24AF7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3246BD" w:rsidRPr="00526DCC" w14:paraId="3D4EABA1" w14:textId="77777777" w:rsidTr="004C4150">
        <w:trPr>
          <w:trHeight w:val="1284"/>
        </w:trPr>
        <w:tc>
          <w:tcPr>
            <w:tcW w:w="4282" w:type="dxa"/>
          </w:tcPr>
          <w:p w14:paraId="72AA0B52" w14:textId="77777777" w:rsidR="003246BD" w:rsidRPr="003246BD" w:rsidRDefault="003246BD" w:rsidP="00526DCC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1" w:type="dxa"/>
          </w:tcPr>
          <w:p w14:paraId="008143FA" w14:textId="77777777" w:rsidR="003246BD" w:rsidRPr="00F63F89" w:rsidRDefault="003246BD" w:rsidP="00B24AF7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6B388C7" w14:textId="77777777" w:rsidR="003246BD" w:rsidRPr="00526DCC" w:rsidRDefault="003246BD" w:rsidP="003246B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26DCC">
              <w:rPr>
                <w:rFonts w:ascii="Arial" w:hAnsi="Arial" w:cs="Arial"/>
                <w:b/>
                <w:bCs/>
                <w:sz w:val="21"/>
                <w:szCs w:val="21"/>
              </w:rPr>
              <w:t>Mariel Lizbeth Matlalcoatl Nuñez</w:t>
            </w:r>
          </w:p>
          <w:p w14:paraId="0092E575" w14:textId="77777777" w:rsidR="003246BD" w:rsidRPr="00526DCC" w:rsidRDefault="003246BD" w:rsidP="00324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DCC">
              <w:rPr>
                <w:rFonts w:ascii="Arial" w:hAnsi="Arial" w:cs="Arial"/>
                <w:sz w:val="20"/>
                <w:szCs w:val="20"/>
              </w:rPr>
              <w:t>Invitada</w:t>
            </w:r>
          </w:p>
          <w:p w14:paraId="1E795E99" w14:textId="62218743" w:rsidR="003246BD" w:rsidRPr="00526DCC" w:rsidRDefault="003246BD" w:rsidP="003246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26DCC">
              <w:rPr>
                <w:rFonts w:ascii="Arial" w:hAnsi="Arial" w:cs="Arial"/>
                <w:sz w:val="20"/>
                <w:szCs w:val="20"/>
              </w:rPr>
              <w:t>Jefa del Área Investigadora</w:t>
            </w:r>
          </w:p>
          <w:p w14:paraId="7A19729B" w14:textId="77777777" w:rsidR="003246BD" w:rsidRPr="00526DCC" w:rsidRDefault="003246BD" w:rsidP="003246BD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029916CE" w14:textId="0837503E" w:rsidR="0087354F" w:rsidRDefault="0087354F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81DC05C" w14:textId="77777777" w:rsidR="0087354F" w:rsidRDefault="0087354F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3BCFA5F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532BEE7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7BE8427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1EEE90AB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511B2F4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36C7CF2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F931F1C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EA137F8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CB91C2B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C173B3B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0873796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4307D80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4193C63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25887020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50AA955A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E580994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277EA4E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AAF2EFB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00720030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A842281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C919FFD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6C6CB1D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717146E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147134E0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58DC28A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7341FB81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3C6C9337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5B6D5FCB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5254EF0C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71640B9" w14:textId="77777777" w:rsidR="004C4150" w:rsidRDefault="004C4150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610B90BD" w14:textId="77777777" w:rsidR="0087354F" w:rsidRDefault="0087354F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440089A4" w14:textId="77777777" w:rsidR="0087354F" w:rsidRDefault="0087354F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</w:p>
    <w:p w14:paraId="1B33551B" w14:textId="13BC9082" w:rsidR="00556494" w:rsidRPr="00F63F89" w:rsidRDefault="00556494" w:rsidP="00556494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La presente hoja de firmas forma parte integral d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de 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la </w:t>
      </w:r>
      <w:r w:rsidR="00F51C2B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Primera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Sesión </w:t>
      </w:r>
      <w:r w:rsidR="00F51C2B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Extrao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rdinaria del </w:t>
      </w: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Comité de </w:t>
      </w:r>
      <w:r w:rsidR="007A54B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Administración de Riesgos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Pr="00F63F89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B6172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27 de mayo de 2024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, en </w:t>
      </w:r>
      <w:r w:rsidRPr="00F63F89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Sistema Anticorrupción de Jal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sectPr w:rsidR="00556494" w:rsidRPr="00F63F89" w:rsidSect="00A60318">
      <w:headerReference w:type="default" r:id="rId7"/>
      <w:footerReference w:type="even" r:id="rId8"/>
      <w:footerReference w:type="default" r:id="rId9"/>
      <w:pgSz w:w="12240" w:h="19298" w:code="10000"/>
      <w:pgMar w:top="1418" w:right="1418" w:bottom="1135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027D9" w14:textId="77777777" w:rsidR="00E7505A" w:rsidRDefault="00E7505A">
      <w:r>
        <w:separator/>
      </w:r>
    </w:p>
  </w:endnote>
  <w:endnote w:type="continuationSeparator" w:id="0">
    <w:p w14:paraId="430AA27A" w14:textId="77777777" w:rsidR="00E7505A" w:rsidRDefault="00E7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kta Malar Medium">
    <w:altName w:val="Vijaya"/>
    <w:charset w:val="00"/>
    <w:family w:val="swiss"/>
    <w:pitch w:val="variable"/>
    <w:sig w:usb0="A01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C688" w14:textId="77777777" w:rsidR="00E337CD" w:rsidRDefault="00461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797B0667" w14:textId="77777777" w:rsidR="00E337CD" w:rsidRDefault="00E33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161B41" w14:textId="77777777" w:rsidR="00E337CD" w:rsidRDefault="00461A75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20737D" w14:textId="4A3ECCBA" w:rsidR="00E337CD" w:rsidRDefault="00E337CD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94E74" w14:textId="77777777" w:rsidR="00E7505A" w:rsidRDefault="00E7505A">
      <w:r>
        <w:separator/>
      </w:r>
    </w:p>
  </w:footnote>
  <w:footnote w:type="continuationSeparator" w:id="0">
    <w:p w14:paraId="50C6B542" w14:textId="77777777" w:rsidR="00E7505A" w:rsidRDefault="00E7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42A6" w14:textId="77777777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0EADB56" w14:textId="2ADB8158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CED1DA1" w14:textId="23BF9840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F96637B" w14:textId="0840A233" w:rsidR="00E337CD" w:rsidRDefault="005F659B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509AEE" wp14:editId="41453961">
              <wp:simplePos x="0" y="0"/>
              <wp:positionH relativeFrom="column">
                <wp:posOffset>3536342</wp:posOffset>
              </wp:positionH>
              <wp:positionV relativeFrom="paragraph">
                <wp:posOffset>76006</wp:posOffset>
              </wp:positionV>
              <wp:extent cx="2754630" cy="1404620"/>
              <wp:effectExtent l="0" t="0" r="7620" b="8255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46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D19BA" w14:textId="398E3C38" w:rsidR="00E337CD" w:rsidRDefault="00461A75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 xml:space="preserve">COMITÉ DE </w:t>
                          </w:r>
                          <w:r w:rsidR="004D6D2D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ADMINISTRACIÓN DE RIESGOS</w:t>
                          </w:r>
                        </w:p>
                        <w:p w14:paraId="34D037CC" w14:textId="64B72110" w:rsidR="00751B28" w:rsidRPr="00751B28" w:rsidRDefault="00751B28" w:rsidP="00751B28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751B28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Acta de la Primera Sesión Extraordinaria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09AEE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8.45pt;margin-top:6pt;width:21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dB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" stroked="f">
              <v:textbox style="mso-fit-shape-to-text:t">
                <w:txbxContent>
                  <w:p w14:paraId="592D19BA" w14:textId="398E3C38" w:rsidR="00E337CD" w:rsidRDefault="00461A75" w:rsidP="00D93644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 xml:space="preserve">COMITÉ DE </w:t>
                    </w:r>
                    <w:r w:rsidR="004D6D2D"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ADMINISTRACIÓN DE RIESGOS</w:t>
                    </w:r>
                  </w:p>
                  <w:p w14:paraId="34D037CC" w14:textId="64B72110" w:rsidR="00751B28" w:rsidRPr="00751B28" w:rsidRDefault="00751B28" w:rsidP="00751B28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751B28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Acta de la Primera Sesión Extraordinaria</w:t>
                    </w:r>
                  </w:p>
                </w:txbxContent>
              </v:textbox>
            </v:shape>
          </w:pict>
        </mc:Fallback>
      </mc:AlternateContent>
    </w:r>
    <w:r w:rsidR="00461A75">
      <w:rPr>
        <w:noProof/>
        <w:color w:val="5B9BD5"/>
        <w:sz w:val="21"/>
        <w:szCs w:val="21"/>
      </w:rPr>
      <w:drawing>
        <wp:inline distT="0" distB="0" distL="0" distR="0" wp14:anchorId="00D5E17B" wp14:editId="2837E202">
          <wp:extent cx="3571875" cy="681801"/>
          <wp:effectExtent l="0" t="0" r="0" b="0"/>
          <wp:docPr id="1497738824" name="Imagen 149773882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35626" w14:textId="42C04008" w:rsidR="00E337CD" w:rsidRDefault="00E337CD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EBCE24B" w14:textId="7FB6B8CF" w:rsidR="00E337CD" w:rsidRDefault="00E337CD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A02"/>
    <w:multiLevelType w:val="hybridMultilevel"/>
    <w:tmpl w:val="9F3EA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D91"/>
    <w:multiLevelType w:val="hybridMultilevel"/>
    <w:tmpl w:val="DDDE11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2C95"/>
    <w:multiLevelType w:val="hybridMultilevel"/>
    <w:tmpl w:val="2D349668"/>
    <w:lvl w:ilvl="0" w:tplc="95FC732E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D233C8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4D5F"/>
    <w:multiLevelType w:val="hybridMultilevel"/>
    <w:tmpl w:val="C29097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625D"/>
    <w:multiLevelType w:val="hybridMultilevel"/>
    <w:tmpl w:val="9C9C9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49AE"/>
    <w:multiLevelType w:val="hybridMultilevel"/>
    <w:tmpl w:val="DE24CA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D24B2"/>
    <w:multiLevelType w:val="hybridMultilevel"/>
    <w:tmpl w:val="E2F693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765BC"/>
    <w:multiLevelType w:val="hybridMultilevel"/>
    <w:tmpl w:val="3D6EFBE2"/>
    <w:lvl w:ilvl="0" w:tplc="A4B2BAEA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11DF3"/>
    <w:multiLevelType w:val="hybridMultilevel"/>
    <w:tmpl w:val="51F0E9C2"/>
    <w:lvl w:ilvl="0" w:tplc="6D14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227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0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84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C8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00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2E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0F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CE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F539B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9CD"/>
    <w:multiLevelType w:val="hybridMultilevel"/>
    <w:tmpl w:val="3EB27C1E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D1E79"/>
    <w:multiLevelType w:val="hybridMultilevel"/>
    <w:tmpl w:val="7FEE4B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342">
    <w:abstractNumId w:val="11"/>
  </w:num>
  <w:num w:numId="2" w16cid:durableId="527719794">
    <w:abstractNumId w:val="7"/>
  </w:num>
  <w:num w:numId="3" w16cid:durableId="884367544">
    <w:abstractNumId w:val="12"/>
  </w:num>
  <w:num w:numId="4" w16cid:durableId="1248150534">
    <w:abstractNumId w:val="3"/>
  </w:num>
  <w:num w:numId="5" w16cid:durableId="1465810275">
    <w:abstractNumId w:val="10"/>
  </w:num>
  <w:num w:numId="6" w16cid:durableId="377439464">
    <w:abstractNumId w:val="5"/>
  </w:num>
  <w:num w:numId="7" w16cid:durableId="1418020204">
    <w:abstractNumId w:val="0"/>
  </w:num>
  <w:num w:numId="8" w16cid:durableId="689262260">
    <w:abstractNumId w:val="9"/>
  </w:num>
  <w:num w:numId="9" w16cid:durableId="1687055965">
    <w:abstractNumId w:val="4"/>
  </w:num>
  <w:num w:numId="10" w16cid:durableId="306785146">
    <w:abstractNumId w:val="1"/>
  </w:num>
  <w:num w:numId="11" w16cid:durableId="805853837">
    <w:abstractNumId w:val="2"/>
  </w:num>
  <w:num w:numId="12" w16cid:durableId="71006247">
    <w:abstractNumId w:val="6"/>
  </w:num>
  <w:num w:numId="13" w16cid:durableId="1693531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94"/>
    <w:rsid w:val="00006541"/>
    <w:rsid w:val="00025A17"/>
    <w:rsid w:val="0003208E"/>
    <w:rsid w:val="00032F11"/>
    <w:rsid w:val="000330BA"/>
    <w:rsid w:val="00056865"/>
    <w:rsid w:val="00095CD3"/>
    <w:rsid w:val="000A0F6D"/>
    <w:rsid w:val="000A28E2"/>
    <w:rsid w:val="000A765C"/>
    <w:rsid w:val="000D58B3"/>
    <w:rsid w:val="000F0972"/>
    <w:rsid w:val="000F419E"/>
    <w:rsid w:val="000F5DB0"/>
    <w:rsid w:val="000F7A3E"/>
    <w:rsid w:val="0010304A"/>
    <w:rsid w:val="0011105D"/>
    <w:rsid w:val="001157EB"/>
    <w:rsid w:val="001165B7"/>
    <w:rsid w:val="00133DBA"/>
    <w:rsid w:val="0014381F"/>
    <w:rsid w:val="001551C5"/>
    <w:rsid w:val="00156A89"/>
    <w:rsid w:val="00160723"/>
    <w:rsid w:val="00167B26"/>
    <w:rsid w:val="00167D94"/>
    <w:rsid w:val="001A1116"/>
    <w:rsid w:val="001B2F1A"/>
    <w:rsid w:val="001B4311"/>
    <w:rsid w:val="001C03E2"/>
    <w:rsid w:val="001C4042"/>
    <w:rsid w:val="001D0D0A"/>
    <w:rsid w:val="001D1884"/>
    <w:rsid w:val="001D3420"/>
    <w:rsid w:val="001D48D9"/>
    <w:rsid w:val="001E722E"/>
    <w:rsid w:val="002004EF"/>
    <w:rsid w:val="00216A17"/>
    <w:rsid w:val="00223407"/>
    <w:rsid w:val="00230616"/>
    <w:rsid w:val="00274C92"/>
    <w:rsid w:val="00293A32"/>
    <w:rsid w:val="002A6745"/>
    <w:rsid w:val="002C2FF1"/>
    <w:rsid w:val="002D67C6"/>
    <w:rsid w:val="002F3C5F"/>
    <w:rsid w:val="003156CC"/>
    <w:rsid w:val="003246BD"/>
    <w:rsid w:val="00324E22"/>
    <w:rsid w:val="00326AC8"/>
    <w:rsid w:val="003330A5"/>
    <w:rsid w:val="00344900"/>
    <w:rsid w:val="00346CB0"/>
    <w:rsid w:val="00346D62"/>
    <w:rsid w:val="00351A11"/>
    <w:rsid w:val="00351D68"/>
    <w:rsid w:val="00354AEB"/>
    <w:rsid w:val="00356FC3"/>
    <w:rsid w:val="00360438"/>
    <w:rsid w:val="003B1D1D"/>
    <w:rsid w:val="003D0B37"/>
    <w:rsid w:val="003E67D3"/>
    <w:rsid w:val="003F3B6B"/>
    <w:rsid w:val="003F6C02"/>
    <w:rsid w:val="00412B35"/>
    <w:rsid w:val="00422D36"/>
    <w:rsid w:val="004403D1"/>
    <w:rsid w:val="00461A75"/>
    <w:rsid w:val="004640F2"/>
    <w:rsid w:val="004723B6"/>
    <w:rsid w:val="00477DAD"/>
    <w:rsid w:val="0048129F"/>
    <w:rsid w:val="00484870"/>
    <w:rsid w:val="00495511"/>
    <w:rsid w:val="004A6D00"/>
    <w:rsid w:val="004C1B98"/>
    <w:rsid w:val="004C4150"/>
    <w:rsid w:val="004D08E2"/>
    <w:rsid w:val="004D2649"/>
    <w:rsid w:val="004D435F"/>
    <w:rsid w:val="004D6D2D"/>
    <w:rsid w:val="004E4302"/>
    <w:rsid w:val="00520F56"/>
    <w:rsid w:val="00526DCC"/>
    <w:rsid w:val="0054111D"/>
    <w:rsid w:val="005524ED"/>
    <w:rsid w:val="00554C0C"/>
    <w:rsid w:val="00556494"/>
    <w:rsid w:val="00561B47"/>
    <w:rsid w:val="0056560B"/>
    <w:rsid w:val="00582764"/>
    <w:rsid w:val="005A0489"/>
    <w:rsid w:val="005A5862"/>
    <w:rsid w:val="005A7A3B"/>
    <w:rsid w:val="005B177C"/>
    <w:rsid w:val="005B28EC"/>
    <w:rsid w:val="005B775E"/>
    <w:rsid w:val="005C77D3"/>
    <w:rsid w:val="005D307E"/>
    <w:rsid w:val="005D46A4"/>
    <w:rsid w:val="005F1EB8"/>
    <w:rsid w:val="005F29EE"/>
    <w:rsid w:val="005F659B"/>
    <w:rsid w:val="00610513"/>
    <w:rsid w:val="00612FCD"/>
    <w:rsid w:val="00622AEA"/>
    <w:rsid w:val="00650F92"/>
    <w:rsid w:val="00651E6E"/>
    <w:rsid w:val="00672F6B"/>
    <w:rsid w:val="006740C9"/>
    <w:rsid w:val="006941EC"/>
    <w:rsid w:val="00695FC8"/>
    <w:rsid w:val="00697A80"/>
    <w:rsid w:val="006B47DE"/>
    <w:rsid w:val="006E668C"/>
    <w:rsid w:val="006F335A"/>
    <w:rsid w:val="006F7CB1"/>
    <w:rsid w:val="00700445"/>
    <w:rsid w:val="0070691B"/>
    <w:rsid w:val="00727595"/>
    <w:rsid w:val="00737D19"/>
    <w:rsid w:val="00751B28"/>
    <w:rsid w:val="007564E1"/>
    <w:rsid w:val="007654BF"/>
    <w:rsid w:val="00766FCB"/>
    <w:rsid w:val="007771C7"/>
    <w:rsid w:val="007843F6"/>
    <w:rsid w:val="007A3D2A"/>
    <w:rsid w:val="007A4E5F"/>
    <w:rsid w:val="007A54B0"/>
    <w:rsid w:val="007B3AE1"/>
    <w:rsid w:val="007C0B59"/>
    <w:rsid w:val="007D371E"/>
    <w:rsid w:val="007D45DE"/>
    <w:rsid w:val="007E579A"/>
    <w:rsid w:val="007E5919"/>
    <w:rsid w:val="0081387A"/>
    <w:rsid w:val="0085024F"/>
    <w:rsid w:val="00852762"/>
    <w:rsid w:val="0085500D"/>
    <w:rsid w:val="0087354F"/>
    <w:rsid w:val="00891809"/>
    <w:rsid w:val="0089252D"/>
    <w:rsid w:val="008C06CE"/>
    <w:rsid w:val="008E5FD5"/>
    <w:rsid w:val="008F0438"/>
    <w:rsid w:val="008F5309"/>
    <w:rsid w:val="008F6614"/>
    <w:rsid w:val="00903F0B"/>
    <w:rsid w:val="00905831"/>
    <w:rsid w:val="00910780"/>
    <w:rsid w:val="00934DE5"/>
    <w:rsid w:val="00941FBE"/>
    <w:rsid w:val="00945BAC"/>
    <w:rsid w:val="009539E4"/>
    <w:rsid w:val="00955749"/>
    <w:rsid w:val="00980E23"/>
    <w:rsid w:val="00983707"/>
    <w:rsid w:val="00992273"/>
    <w:rsid w:val="00997878"/>
    <w:rsid w:val="009A44F8"/>
    <w:rsid w:val="009C2FBC"/>
    <w:rsid w:val="009C557B"/>
    <w:rsid w:val="009F0800"/>
    <w:rsid w:val="009F4368"/>
    <w:rsid w:val="00A036E7"/>
    <w:rsid w:val="00A052D8"/>
    <w:rsid w:val="00A17C7E"/>
    <w:rsid w:val="00A243F5"/>
    <w:rsid w:val="00A30F39"/>
    <w:rsid w:val="00A52F8F"/>
    <w:rsid w:val="00A66A0E"/>
    <w:rsid w:val="00A822CA"/>
    <w:rsid w:val="00A82F45"/>
    <w:rsid w:val="00A949C5"/>
    <w:rsid w:val="00AC696D"/>
    <w:rsid w:val="00AD3312"/>
    <w:rsid w:val="00AD746B"/>
    <w:rsid w:val="00AF2039"/>
    <w:rsid w:val="00AF5FE4"/>
    <w:rsid w:val="00B1289F"/>
    <w:rsid w:val="00B13C5E"/>
    <w:rsid w:val="00B156A1"/>
    <w:rsid w:val="00B251C3"/>
    <w:rsid w:val="00B320B4"/>
    <w:rsid w:val="00B44347"/>
    <w:rsid w:val="00B55240"/>
    <w:rsid w:val="00B61729"/>
    <w:rsid w:val="00B638DB"/>
    <w:rsid w:val="00B71D92"/>
    <w:rsid w:val="00B73580"/>
    <w:rsid w:val="00B926FA"/>
    <w:rsid w:val="00B94244"/>
    <w:rsid w:val="00B97FBA"/>
    <w:rsid w:val="00BB1817"/>
    <w:rsid w:val="00BC59FE"/>
    <w:rsid w:val="00BC79C7"/>
    <w:rsid w:val="00BE32FC"/>
    <w:rsid w:val="00C0061C"/>
    <w:rsid w:val="00C3466B"/>
    <w:rsid w:val="00C45802"/>
    <w:rsid w:val="00C4747F"/>
    <w:rsid w:val="00C47DD7"/>
    <w:rsid w:val="00C55CB9"/>
    <w:rsid w:val="00C642A2"/>
    <w:rsid w:val="00C74B5A"/>
    <w:rsid w:val="00C850FC"/>
    <w:rsid w:val="00C92799"/>
    <w:rsid w:val="00C92EFF"/>
    <w:rsid w:val="00CA5414"/>
    <w:rsid w:val="00CB1C79"/>
    <w:rsid w:val="00CB7B33"/>
    <w:rsid w:val="00CD426F"/>
    <w:rsid w:val="00CF1A2C"/>
    <w:rsid w:val="00CF7FBE"/>
    <w:rsid w:val="00D01C3A"/>
    <w:rsid w:val="00D02D41"/>
    <w:rsid w:val="00D075B6"/>
    <w:rsid w:val="00D12CC8"/>
    <w:rsid w:val="00D15750"/>
    <w:rsid w:val="00D25D02"/>
    <w:rsid w:val="00D26182"/>
    <w:rsid w:val="00D26DE9"/>
    <w:rsid w:val="00D30FD1"/>
    <w:rsid w:val="00D325BB"/>
    <w:rsid w:val="00D4488E"/>
    <w:rsid w:val="00D468A9"/>
    <w:rsid w:val="00D57533"/>
    <w:rsid w:val="00DA6C92"/>
    <w:rsid w:val="00DC4AD8"/>
    <w:rsid w:val="00DE210F"/>
    <w:rsid w:val="00E05F60"/>
    <w:rsid w:val="00E077F8"/>
    <w:rsid w:val="00E0795E"/>
    <w:rsid w:val="00E174F1"/>
    <w:rsid w:val="00E208ED"/>
    <w:rsid w:val="00E24D7A"/>
    <w:rsid w:val="00E31465"/>
    <w:rsid w:val="00E337CD"/>
    <w:rsid w:val="00E42C45"/>
    <w:rsid w:val="00E4710D"/>
    <w:rsid w:val="00E50826"/>
    <w:rsid w:val="00E50B30"/>
    <w:rsid w:val="00E5398E"/>
    <w:rsid w:val="00E55A42"/>
    <w:rsid w:val="00E62508"/>
    <w:rsid w:val="00E7505A"/>
    <w:rsid w:val="00E7645F"/>
    <w:rsid w:val="00E773A3"/>
    <w:rsid w:val="00E83380"/>
    <w:rsid w:val="00E93B4B"/>
    <w:rsid w:val="00EA1A1F"/>
    <w:rsid w:val="00EB0295"/>
    <w:rsid w:val="00EC7422"/>
    <w:rsid w:val="00ED0DF4"/>
    <w:rsid w:val="00ED1B97"/>
    <w:rsid w:val="00ED5253"/>
    <w:rsid w:val="00EE31E1"/>
    <w:rsid w:val="00EE3A95"/>
    <w:rsid w:val="00EF0241"/>
    <w:rsid w:val="00F21A1B"/>
    <w:rsid w:val="00F3499D"/>
    <w:rsid w:val="00F3731E"/>
    <w:rsid w:val="00F45581"/>
    <w:rsid w:val="00F51C2B"/>
    <w:rsid w:val="00F53AC4"/>
    <w:rsid w:val="00F57404"/>
    <w:rsid w:val="00F854D3"/>
    <w:rsid w:val="00F94CE5"/>
    <w:rsid w:val="00FA13E9"/>
    <w:rsid w:val="00FA40BF"/>
    <w:rsid w:val="00FB2FD4"/>
    <w:rsid w:val="00FC1F37"/>
    <w:rsid w:val="00FC660E"/>
    <w:rsid w:val="00FD4156"/>
    <w:rsid w:val="00FD7982"/>
    <w:rsid w:val="00FF2925"/>
    <w:rsid w:val="0CAFF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8726"/>
  <w15:chartTrackingRefBased/>
  <w15:docId w15:val="{2CDB4C77-ED66-4E11-8CE0-7557234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94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64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494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5649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59"/>
    <w:rsid w:val="0055649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56494"/>
  </w:style>
  <w:style w:type="character" w:customStyle="1" w:styleId="eop">
    <w:name w:val="eop"/>
    <w:basedOn w:val="Fuentedeprrafopredeter"/>
    <w:rsid w:val="00556494"/>
  </w:style>
  <w:style w:type="character" w:styleId="Refdecomentario">
    <w:name w:val="annotation reference"/>
    <w:basedOn w:val="Fuentedeprrafopredeter"/>
    <w:uiPriority w:val="99"/>
    <w:semiHidden/>
    <w:unhideWhenUsed/>
    <w:rsid w:val="000A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76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765C"/>
    <w:rPr>
      <w:rFonts w:ascii="Cambria" w:eastAsia="MS Mincho" w:hAnsi="Cambria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65C"/>
    <w:rPr>
      <w:rFonts w:ascii="Cambria" w:eastAsia="MS Mincho" w:hAnsi="Cambria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D6D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D2D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Lizeth Lopez Perez</dc:creator>
  <cp:keywords/>
  <dc:description/>
  <cp:lastModifiedBy>Jessica Avalos Álvarez</cp:lastModifiedBy>
  <cp:revision>221</cp:revision>
  <cp:lastPrinted>2023-09-22T22:09:00Z</cp:lastPrinted>
  <dcterms:created xsi:type="dcterms:W3CDTF">2023-04-18T22:14:00Z</dcterms:created>
  <dcterms:modified xsi:type="dcterms:W3CDTF">2024-05-27T22:14:00Z</dcterms:modified>
</cp:coreProperties>
</file>